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23 100 / 32 vom 8. Februar 2024</w:t>
      </w:r>
    </w:p>
    <w:p>
      <w:r>
        <w:t>BL Gerichte, 2024-02-08, DE</w:t>
      </w:r>
    </w:p>
    <w:p>
      <w:r>
        <w:rPr>
          <w:b/>
        </w:rPr>
        <w:t xml:space="preserve">Quelle: </w:t>
      </w:r>
      <w:r>
        <w:t>https://mcp.opencaselaw.ch/entscheid/bl_gerichte_735 23 100 _ 32</w:t>
      </w:r>
    </w:p>
    <w:p>
      <w:r>
        <w:t>FR: BL_GERICHTE 735 23 100 / 32 du 8 février 2024</w:t>
      </w:r>
    </w:p>
    <w:p>
      <w:r>
        <w:t>IT: BL_GERICHTE 735 23 100 / 32 del 8 febbraio 2024</w:t>
      </w:r>
    </w:p>
    <w:p>
      <w:pPr>
        <w:pStyle w:val="Heading2"/>
      </w:pPr>
      <w:r>
        <w:t>Regeste</w:t>
      </w:r>
    </w:p>
    <w:p>
      <w:r>
        <w:t>Invalidenrente / Erfordernis des engen sachlichen Zusammenhangs zwischen der während andauerndem Vorsorgeverhältnis bestehenden Arbeitsunfähigkeit und der erst später eingetretenen Invalidität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Klage wird abgewiesen, soweit darauf eingetreten werden kann.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werden keine Parteientschädigungen zugesprochen. Zufolge Bewilligung der unentgeltlichen Verbeiständung wird der Rechtsvertreterin der Klägerin ein Honorar in der Höhe von Fr. 5'922.80 (inkl. Auslagen und 7,7 %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